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Załącznik nr 1 do zapytania ofertowego </w:t>
        <w:tab/>
        <w:tab/>
        <w:tab/>
        <w:tab/>
        <w:t>……………………………………………..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center"/>
        <w:rPr>
          <w:rFonts w:ascii="Consolas" w:hAnsi="Consolas"/>
          <w:b/>
          <w:b/>
          <w:bCs/>
          <w:sz w:val="24"/>
          <w:szCs w:val="24"/>
        </w:rPr>
      </w:pPr>
      <w:r>
        <w:rPr>
          <w:rFonts w:ascii="Consolas" w:hAnsi="Consolas"/>
          <w:b/>
          <w:bCs/>
          <w:sz w:val="24"/>
          <w:szCs w:val="24"/>
        </w:rPr>
        <w:t>FORMULARZ OFERTY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Nazwa pomiotu: 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Adres podmiotu 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NIP: 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KRS </w:t>
      </w:r>
      <w:r>
        <w:rPr>
          <w:rFonts w:ascii="Consolas" w:hAnsi="Consolas"/>
          <w:sz w:val="20"/>
          <w:szCs w:val="20"/>
        </w:rPr>
        <w:t>(</w:t>
      </w:r>
      <w:r>
        <w:rPr>
          <w:rFonts w:ascii="Consolas" w:hAnsi="Consolas"/>
          <w:b/>
          <w:bCs/>
          <w:i/>
          <w:iCs/>
          <w:sz w:val="16"/>
          <w:szCs w:val="16"/>
        </w:rPr>
        <w:t>jeśli dotyczy</w:t>
      </w:r>
      <w:r>
        <w:rPr>
          <w:rFonts w:ascii="Consolas" w:hAnsi="Consolas"/>
          <w:sz w:val="20"/>
          <w:szCs w:val="20"/>
        </w:rPr>
        <w:t>)</w:t>
      </w:r>
      <w:r>
        <w:rPr>
          <w:rFonts w:ascii="Consolas" w:hAnsi="Consolas"/>
          <w:sz w:val="20"/>
          <w:szCs w:val="20"/>
        </w:rPr>
        <w:t>: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e-mail: 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  <w:t xml:space="preserve">tel. </w:t>
      </w:r>
    </w:p>
    <w:p>
      <w:pPr>
        <w:pStyle w:val="Normal"/>
        <w:bidi w:val="0"/>
        <w:spacing w:lineRule="auto" w:line="360"/>
        <w:jc w:val="left"/>
        <w:rPr>
          <w:rFonts w:ascii="Consolas" w:hAnsi="Consolas"/>
          <w:sz w:val="20"/>
          <w:szCs w:val="20"/>
        </w:rPr>
      </w:pPr>
      <w:r>
        <w:rPr>
          <w:rFonts w:ascii="Consolas" w:hAnsi="Consolas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color w:val="000000"/>
          <w:sz w:val="20"/>
          <w:szCs w:val="20"/>
        </w:rPr>
        <w:t xml:space="preserve">W odpowiedzi na zapytanie ofertowe z dnia </w:t>
      </w:r>
      <w:r>
        <w:rPr>
          <w:rFonts w:ascii="Consolas" w:hAnsi="Consolas"/>
          <w:b/>
          <w:bCs/>
          <w:color w:val="000000"/>
          <w:sz w:val="20"/>
          <w:szCs w:val="20"/>
        </w:rPr>
        <w:t>21.02.2022 r.</w:t>
      </w:r>
      <w:r>
        <w:rPr>
          <w:rFonts w:ascii="Consolas" w:hAnsi="Consolas"/>
          <w:b/>
          <w:bCs/>
          <w:color w:val="000000"/>
          <w:sz w:val="20"/>
          <w:szCs w:val="20"/>
        </w:rPr>
        <w:t xml:space="preserve"> </w:t>
      </w:r>
      <w:r>
        <w:rPr>
          <w:rFonts w:ascii="Consolas" w:hAnsi="Consolas"/>
          <w:color w:val="000000"/>
          <w:sz w:val="20"/>
          <w:szCs w:val="20"/>
        </w:rPr>
        <w:t xml:space="preserve">ogłoszone przez </w:t>
      </w:r>
      <w:r>
        <w:rPr>
          <w:rFonts w:ascii="Consolas" w:hAnsi="Consolas"/>
          <w:b/>
          <w:bCs/>
          <w:color w:val="000000"/>
          <w:sz w:val="20"/>
          <w:szCs w:val="20"/>
        </w:rPr>
        <w:t>Activepharm Labs sp. z o.o. sp. k., ul. Jana Brzechwy 6, 59-2</w:t>
      </w:r>
      <w:r>
        <w:rPr>
          <w:rFonts w:ascii="Consolas" w:hAnsi="Consolas"/>
          <w:b/>
          <w:bCs/>
          <w:color w:val="000000"/>
          <w:sz w:val="20"/>
          <w:szCs w:val="20"/>
        </w:rPr>
        <w:t>2</w:t>
      </w:r>
      <w:r>
        <w:rPr>
          <w:rFonts w:ascii="Consolas" w:hAnsi="Consolas"/>
          <w:b/>
          <w:bCs/>
          <w:color w:val="000000"/>
          <w:sz w:val="20"/>
          <w:szCs w:val="20"/>
        </w:rPr>
        <w:t>0 Legnica</w:t>
      </w:r>
      <w:r>
        <w:rPr>
          <w:rFonts w:ascii="Consolas" w:hAnsi="Consolas"/>
          <w:color w:val="000000"/>
          <w:sz w:val="20"/>
          <w:szCs w:val="20"/>
        </w:rPr>
        <w:t xml:space="preserve"> na wykonanie usługi badawczo-rozwojowej polegającej na </w:t>
      </w:r>
      <w:r>
        <w:rPr>
          <w:rFonts w:ascii="Consolas" w:hAnsi="Consolas"/>
          <w:color w:val="000000"/>
          <w:sz w:val="20"/>
          <w:szCs w:val="20"/>
        </w:rPr>
        <w:t>opracowaniu</w:t>
      </w:r>
      <w:r>
        <w:rPr>
          <w:rFonts w:ascii="Consolas" w:hAnsi="Consolas"/>
          <w:color w:val="000000"/>
          <w:sz w:val="20"/>
          <w:szCs w:val="20"/>
        </w:rPr>
        <w:t xml:space="preserve"> </w:t>
      </w: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 xml:space="preserve">innowacyjnego systemu komunikacji na linii magazyn – administrator – klient w celu znaczącego usprawnienia procesów w Activepharm Labs sp. z o.o. sp. k. oraz podniesienia poziomu bezpieczeństwa wprowadzanych produktów z zastosowaniem technologii Internetu Rzeczy, 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 xml:space="preserve">informujemy, iż jesteśmy w stanie wykonać przedmiot zamówienia, zgodnie z postanowieniami w zapytaniu ofertowym z dnia </w:t>
      </w:r>
      <w:r>
        <w:rPr>
          <w:rFonts w:ascii="Consolas" w:hAnsi="Consolas"/>
          <w:b/>
          <w:bCs/>
          <w:i w:val="false"/>
          <w:caps w:val="false"/>
          <w:smallCaps w:val="false"/>
          <w:color w:val="000000"/>
          <w:sz w:val="20"/>
          <w:szCs w:val="20"/>
        </w:rPr>
        <w:t>21.02.2022 r.</w:t>
      </w: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 xml:space="preserve"> za cenę: ……………………………….... zł netto (słownie: ……………………………………………...). 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1. Oświadczamy, że jesteśmy jednostką naukową posiadającą siedzibę na terytorium RP (</w:t>
      </w:r>
      <w:r>
        <w:rPr>
          <w:rFonts w:ascii="Consolas" w:hAnsi="Consolas"/>
          <w:b/>
          <w:bCs/>
          <w:i/>
          <w:iCs/>
          <w:caps w:val="false"/>
          <w:smallCaps w:val="false"/>
          <w:color w:val="000000"/>
          <w:sz w:val="16"/>
          <w:szCs w:val="16"/>
        </w:rPr>
        <w:t>zaznaczyć właściwe pola</w:t>
      </w: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):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8685"/>
      </w:tblGrid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8685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organizacje prowadzące badania i upowszechniające wiedzę”, określone w art. 2 pkt 83 rozporządzenia KE (UE) nr 651/2014 uznającego niektóre rodzaje pomocy za zgodne z rynkiem wewnętrznym w zastosowaniu art. 107 i 108 Traktatu, posiadające kategorię naukową A+, A albo B przyznaną na podstawie przepisów o szkolnictwie wyższym i nauce;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8685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spółki celowe uczelni, o których mowa w art. 149 ust. 1 ustawy z dnia 20 lipca 2018 r. Prawo o szkolnictwie wyższym i nauce lub spółki celowe jednostki naukowej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8685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Centra transferu technologii uczelni, o których mowa w art. 148 ust. 1 ustawy Prawo o szkolnictwie wyższym i nauce;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8685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przedsiębiorcy posiadający status centrum badawczo-rozwojowego, o którym mowa w art. 17 ust. 1 ustawy z dnia 30 maja 2008 r. o niektórych formach wspierania działalności innowacyjnej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8685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akredytowane laboratoria (posiadające akredytację Polskiego Centrum Akredytacji) lub notyfikowane laboratoria przez podmioty, o których mowa w art. 21 ust. 1 ustawy z dnia 30 sierpnia 2002 r. o systemie oceny zgodności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bidi w:val="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8685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Sieć Badawcza Łukasiewicz, o której mowa w art. 1 ust. 1 ustawy z dnia 21 lutego 2019 r. o Sieci Badawczej Łukasiewicz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2. Oferujemy wykonanie usługi w następującym zakresie: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425"/>
        <w:gridCol w:w="3337"/>
        <w:gridCol w:w="2498"/>
        <w:gridCol w:w="1365"/>
      </w:tblGrid>
      <w:tr>
        <w:trPr/>
        <w:tc>
          <w:tcPr>
            <w:tcW w:w="1020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onsolas" w:hAnsi="Consolas"/>
                <w:b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16"/>
                <w:szCs w:val="16"/>
              </w:rPr>
              <w:t>Etap / Zadanie</w:t>
            </w:r>
          </w:p>
        </w:tc>
        <w:tc>
          <w:tcPr>
            <w:tcW w:w="142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onsolas" w:hAnsi="Consolas"/>
                <w:b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16"/>
                <w:szCs w:val="16"/>
              </w:rPr>
              <w:t>Nazwa Etapu / Zadania</w:t>
            </w:r>
          </w:p>
        </w:tc>
        <w:tc>
          <w:tcPr>
            <w:tcW w:w="333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onsolas" w:hAnsi="Consolas"/>
                <w:b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16"/>
                <w:szCs w:val="16"/>
              </w:rPr>
              <w:t>Opis planowanych działań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onsolas" w:hAnsi="Consolas"/>
                <w:b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16"/>
                <w:szCs w:val="16"/>
              </w:rPr>
              <w:t>Cena netto z uzasadnieniem (w PLN)</w:t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Consolas" w:hAnsi="Consolas"/>
                <w:b/>
                <w:b/>
                <w:bCs/>
                <w:sz w:val="16"/>
                <w:szCs w:val="16"/>
              </w:rPr>
            </w:pPr>
            <w:r>
              <w:rPr>
                <w:rFonts w:ascii="Consolas" w:hAnsi="Consolas"/>
                <w:b/>
                <w:bCs/>
                <w:sz w:val="16"/>
                <w:szCs w:val="16"/>
              </w:rPr>
              <w:t>Cena brutto (w PLN)</w:t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I</w:t>
            </w:r>
          </w:p>
        </w:tc>
        <w:tc>
          <w:tcPr>
            <w:tcW w:w="1425" w:type="dxa"/>
            <w:vMerge w:val="restart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Zadanie 1</w:t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1. Analiza dla ustalenia możliwości bezpośredniego skomunikowania przedmiotów będących towarem z działami: magazynowym, rozliczeniowym, sprzedażowym w ramach istniejącej w przedsiębiorstwie Zamawiającego infrastruktury teleinformatycznej.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2. Opracowanie rozwiązania dla bezpośredniej komunikacji przedmiotów z wymienionymi działami, wykluczającego udział czynnika ludzkiego w ramach tzw. inteligentnych regałów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3. Opracowanie dwóch wariantów wykonawczych.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4. Opracowanie koncepcji wykonawczej dla wybranego wariantu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5. Zakup niezbędnych elementów dla wykonania prototypowego rozwiązania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6. Stworzenie prototypowego systemu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restart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II</w:t>
            </w:r>
          </w:p>
        </w:tc>
        <w:tc>
          <w:tcPr>
            <w:tcW w:w="1425" w:type="dxa"/>
            <w:vMerge w:val="restart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Zadanie 2</w:t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1. Przeprowadzenie testów w warunkach zbliżonych do rzeczywistych wraz z wprowadzeniem ewentualnych poprawek i modyfikacji.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2.  Przeprowadzenie testów w warunkach rzeczywistych wraz z wprowadzeniem ewentualnych poprawek i modyfikacji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III</w:t>
            </w:r>
          </w:p>
        </w:tc>
        <w:tc>
          <w:tcPr>
            <w:tcW w:w="142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>Zadanie 3</w:t>
            </w:r>
          </w:p>
        </w:tc>
        <w:tc>
          <w:tcPr>
            <w:tcW w:w="3337" w:type="dxa"/>
            <w:tcBorders/>
          </w:tcPr>
          <w:p>
            <w:pPr>
              <w:pStyle w:val="Normal"/>
              <w:widowControl w:val="false"/>
              <w:bidi w:val="0"/>
              <w:spacing w:lineRule="auto" w:line="360"/>
              <w:jc w:val="left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  <w:t>Opracowanie dokumentacji technicznej</w:t>
            </w:r>
          </w:p>
        </w:tc>
        <w:tc>
          <w:tcPr>
            <w:tcW w:w="2498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16"/>
                <w:szCs w:val="16"/>
              </w:rPr>
            </w:pPr>
            <w:r>
              <w:rPr>
                <w:rFonts w:ascii="Consolas" w:hAnsi="Consolas"/>
                <w:sz w:val="16"/>
                <w:szCs w:val="16"/>
              </w:rPr>
            </w:r>
          </w:p>
        </w:tc>
        <w:tc>
          <w:tcPr>
            <w:tcW w:w="1365" w:type="dxa"/>
            <w:tcBorders/>
          </w:tcPr>
          <w:p>
            <w:pPr>
              <w:pStyle w:val="Zawartotabeli"/>
              <w:widowControl w:val="false"/>
              <w:bidi w:val="0"/>
              <w:spacing w:lineRule="auto" w:line="360"/>
              <w:jc w:val="both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360"/>
        <w:jc w:val="both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sz w:val="20"/>
        </w:rPr>
        <w:t xml:space="preserve">Termin wykonania usługi: 150 dni od dnia następującego po dniu podpisania umowy. 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3. Oświadczamy, że zapoznaliśmy się z zapytaniem ofertowym, nie wnosimy do jego treści zastrzeżeń i uznajemy się za związanych określonymi w niej postanowieniami i zasadami postępowania.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4. Oświadczamy, że uzyskaliśmy wszystkie informacje od Zamawiającego związane z przedmiotem zamówienia, niezbędne do złożenia niniejszej oferty oraz nie wnosimy w tym zakresie zastrzeżeń.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5. Oświadczamy, że w cenie oferty uwzględniliśmy wszystkie elementy cenotwórcze wynikające z zakresu i sposobu realizacji przedmiotu zamówienia oraz umożliwiające wykonanie przedmiotu zamówienia.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6. Oświadczamy, że zapoznaliśmy się z treścią warunków zmian w umowie a naszą ofertę przygotowaliśmy przy uwzględnieniu tych warunków.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7. Oświadczamy, że dysponujemy zapleczem technicznym i laboratoryjnym oraz potencjałem naukowym umożliwiającym wykonanie przedmiotu zamówienia.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8. Oświadczamy, że przedstawione dokumenty są/nie są (</w:t>
      </w:r>
      <w:r>
        <w:rPr>
          <w:rFonts w:ascii="Consolas" w:hAnsi="Consolas"/>
          <w:b/>
          <w:bCs/>
          <w:i/>
          <w:iCs/>
          <w:caps w:val="false"/>
          <w:smallCaps w:val="false"/>
          <w:color w:val="000000"/>
          <w:sz w:val="16"/>
          <w:szCs w:val="16"/>
        </w:rPr>
        <w:t>niepotrzebne skreślić</w:t>
      </w: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) objęte tajemnicą naszego przedsiębiorstwa.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9. Oświadczamy, że nie istnieją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na: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9.1 uczestniczeniu w spółce jako wspólnik spółki cywilnej lub spółki osobowej,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9.2 posiadaniu co najmniej 10% udziałów lub akcji,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9.3 Pełnieniu funkcji członka organu nadzorczego lub zarządzającego, prokurenta, pełnomocnika,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9.4 pozostawianiu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bidi w:val="0"/>
        <w:spacing w:lineRule="auto" w:line="360"/>
        <w:jc w:val="both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10. Nie podlegamy wykluczeniu z postępowania na podstawie zapisów zapytania ofertowego z dnia 10.02.2022, Wytycznych w zakresie kwalifikowalności wydatków w ramach Europejskiego Funduszu Rozwoju Regionalnego, Europejskiego Funduszu Społecznego oraz Funduszu Spójności na lata 2014 – 2020.</w:t>
      </w:r>
    </w:p>
    <w:p>
      <w:pPr>
        <w:pStyle w:val="Normal"/>
        <w:bidi w:val="0"/>
        <w:spacing w:lineRule="auto" w:line="360"/>
        <w:jc w:val="right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right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right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right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right"/>
        <w:rPr>
          <w:b w:val="false"/>
          <w:b w:val="false"/>
          <w:i w:val="false"/>
          <w:i w:val="false"/>
          <w:caps w:val="false"/>
          <w:smallCaps w:val="false"/>
          <w:sz w:val="20"/>
        </w:rPr>
      </w:pPr>
      <w:r>
        <w:rPr>
          <w:b w:val="false"/>
          <w:i w:val="false"/>
          <w:caps w:val="false"/>
          <w:smallCaps w:val="false"/>
          <w:sz w:val="20"/>
        </w:rPr>
      </w:r>
    </w:p>
    <w:p>
      <w:pPr>
        <w:pStyle w:val="Normal"/>
        <w:bidi w:val="0"/>
        <w:spacing w:lineRule="auto" w:line="360"/>
        <w:jc w:val="right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……………………………………………………………………</w:t>
      </w: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.</w:t>
      </w:r>
    </w:p>
    <w:p>
      <w:pPr>
        <w:pStyle w:val="Normal"/>
        <w:bidi w:val="0"/>
        <w:spacing w:lineRule="auto" w:line="360"/>
        <w:jc w:val="right"/>
        <w:rPr>
          <w:rFonts w:ascii="Consolas" w:hAnsi="Consolas"/>
          <w:color w:val="000000"/>
          <w:sz w:val="20"/>
          <w:szCs w:val="20"/>
        </w:rPr>
      </w:pP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(</w:t>
      </w:r>
      <w:r>
        <w:rPr>
          <w:rFonts w:ascii="Consolas" w:hAnsi="Consolas"/>
          <w:b w:val="false"/>
          <w:i/>
          <w:iCs/>
          <w:caps w:val="false"/>
          <w:smallCaps w:val="false"/>
          <w:color w:val="000000"/>
          <w:sz w:val="16"/>
          <w:szCs w:val="16"/>
        </w:rPr>
        <w:t>podpis osoby upoważnionej do reprezentowania podmiotu wraz z pieczątką podmiotu</w:t>
      </w:r>
      <w:r>
        <w:rPr>
          <w:rFonts w:ascii="Consolas" w:hAnsi="Consolas"/>
          <w:b w:val="false"/>
          <w:i w:val="false"/>
          <w:caps w:val="false"/>
          <w:smallCaps w:val="false"/>
          <w:color w:val="000000"/>
          <w:sz w:val="20"/>
          <w:szCs w:val="20"/>
        </w:rPr>
        <w:t>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nsolas">
    <w:charset w:val="ee"/>
    <w:family w:val="roman"/>
    <w:pitch w:val="variable"/>
  </w:font>
  <w:font w:name="Consolas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LibreOffice/7.3.0.3$Windows_X86_64 LibreOffice_project/0f246aa12d0eee4a0f7adcefbf7c878fc2238db3</Application>
  <AppVersion>15.0000</AppVersion>
  <Pages>3</Pages>
  <Words>718</Words>
  <Characters>4771</Characters>
  <CharactersWithSpaces>5461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2022-02-17T08:56:05Z</dcterms:created>
  <dc:creator/>
  <dc:description/>
  <dc:language>pl-PL</dc:language>
  <cp:lastModifiedBy/>
  <dcterms:modified xsi:type="dcterms:W3CDTF">2022-02-21T07:29:34Z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